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EF08B" w14:textId="77777777" w:rsidR="00CB7B3E" w:rsidRDefault="00CB7B3E" w:rsidP="00CB7B3E">
      <w:pPr>
        <w:shd w:val="clear" w:color="auto" w:fill="F2F2F2" w:themeFill="background1" w:themeFillShade="F2"/>
        <w:spacing w:after="0"/>
        <w:jc w:val="center"/>
        <w:rPr>
          <w:b/>
          <w:color w:val="FF0000"/>
        </w:rPr>
      </w:pPr>
      <w:r>
        <w:rPr>
          <w:b/>
          <w:color w:val="FF0000"/>
        </w:rPr>
        <w:t>Modèle EMPLOYEUR de délibération (article 4 du décret n°2011-1474)</w:t>
      </w:r>
    </w:p>
    <w:p w14:paraId="1DDEBFFE" w14:textId="77777777" w:rsidR="00CB7B3E" w:rsidRDefault="00CB7B3E" w:rsidP="00FA08A7">
      <w:pPr>
        <w:spacing w:after="0"/>
        <w:rPr>
          <w:b/>
        </w:rPr>
      </w:pPr>
    </w:p>
    <w:p w14:paraId="05782F4B" w14:textId="77777777" w:rsidR="00CB7B3E" w:rsidRDefault="00CB7B3E" w:rsidP="00CB7B3E">
      <w:pPr>
        <w:spacing w:after="0"/>
      </w:pPr>
      <w:r w:rsidRPr="002627C1">
        <w:t>Vu</w:t>
      </w:r>
      <w:r>
        <w:t>s</w:t>
      </w:r>
      <w:r w:rsidRPr="002627C1">
        <w:t xml:space="preserve"> </w:t>
      </w:r>
      <w:r>
        <w:t>les articles L 827-1 et suivants du code général de la fonction publique relatifs à la protection sociale complémentaire,</w:t>
      </w:r>
    </w:p>
    <w:p w14:paraId="6EBB16AD" w14:textId="77777777" w:rsidR="00CB7B3E" w:rsidRDefault="00CB7B3E" w:rsidP="00CB7B3E">
      <w:pPr>
        <w:spacing w:after="0"/>
      </w:pPr>
    </w:p>
    <w:p w14:paraId="1A61E129" w14:textId="77777777" w:rsidR="00CB7B3E" w:rsidRDefault="00CB7B3E" w:rsidP="00CB7B3E">
      <w:pPr>
        <w:spacing w:after="0"/>
      </w:pPr>
      <w:r>
        <w:t xml:space="preserve">Vu le </w:t>
      </w:r>
      <w:r w:rsidRPr="002627C1">
        <w:t>décret n° 2011-1474 du 8 novembre 2011 relatif à la participation des collectivités  territoriales et de leurs établissements publics au financement de la protection sociale c</w:t>
      </w:r>
      <w:r>
        <w:t>omplémentaire de leurs agents et les quatre arrêtés d’application du 8 novembre 2011,</w:t>
      </w:r>
    </w:p>
    <w:p w14:paraId="3807B48B" w14:textId="77777777" w:rsidR="00CB7B3E" w:rsidRDefault="00CB7B3E" w:rsidP="00CB7B3E">
      <w:pPr>
        <w:spacing w:after="0"/>
      </w:pPr>
    </w:p>
    <w:p w14:paraId="1AA5F963" w14:textId="77777777" w:rsidR="00CB7B3E" w:rsidRDefault="00CB7B3E" w:rsidP="00CB7B3E">
      <w:pPr>
        <w:spacing w:after="0"/>
      </w:pPr>
      <w:r>
        <w:t>Vu le d</w:t>
      </w:r>
      <w:r w:rsidRPr="0049514D">
        <w:t>écret n° 2022-581 du 20 avril 2022 relatif aux garanties de protection sociale complémentaire et à la participation obligatoire des collectivités territoriales et de leurs établissements publics à leur financement</w:t>
      </w:r>
      <w:r>
        <w:t>,</w:t>
      </w:r>
    </w:p>
    <w:p w14:paraId="6C5D09FA" w14:textId="77777777" w:rsidR="00CB7B3E" w:rsidRPr="002627C1" w:rsidRDefault="00CB7B3E" w:rsidP="00CB7B3E">
      <w:pPr>
        <w:spacing w:after="0"/>
      </w:pPr>
    </w:p>
    <w:p w14:paraId="4854B2CE" w14:textId="77777777" w:rsidR="00CB7B3E" w:rsidRPr="00F70535" w:rsidRDefault="00CB7B3E" w:rsidP="00CB7B3E">
      <w:pPr>
        <w:spacing w:after="0"/>
        <w:rPr>
          <w:color w:val="000000" w:themeColor="text1"/>
        </w:rPr>
      </w:pPr>
      <w:r w:rsidRPr="002627C1">
        <w:t xml:space="preserve">Vu l’avis du comité </w:t>
      </w:r>
      <w:r>
        <w:t>social territorial</w:t>
      </w:r>
      <w:r w:rsidRPr="002627C1">
        <w:t xml:space="preserve"> du </w:t>
      </w:r>
      <w:r w:rsidRPr="002627C1">
        <w:rPr>
          <w:color w:val="FF0000"/>
        </w:rPr>
        <w:t>JJ.MM.AAAA</w:t>
      </w:r>
      <w:r w:rsidRPr="002627C1">
        <w:rPr>
          <w:color w:val="000000" w:themeColor="text1"/>
        </w:rPr>
        <w:t xml:space="preserve">, pris sur la base de l’article </w:t>
      </w:r>
      <w:r>
        <w:rPr>
          <w:color w:val="000000" w:themeColor="text1"/>
        </w:rPr>
        <w:t>4 du décret n°2011-1474 précité,</w:t>
      </w:r>
    </w:p>
    <w:p w14:paraId="745C73C1" w14:textId="77777777" w:rsidR="00CB7B3E" w:rsidRPr="002627C1" w:rsidRDefault="00CB7B3E" w:rsidP="00CB7B3E">
      <w:pPr>
        <w:spacing w:after="0"/>
      </w:pPr>
    </w:p>
    <w:p w14:paraId="19D1BB09" w14:textId="77777777" w:rsidR="00CB7B3E" w:rsidRDefault="00CB7B3E" w:rsidP="00CB7B3E">
      <w:pPr>
        <w:shd w:val="clear" w:color="auto" w:fill="FDE9D9" w:themeFill="accent6" w:themeFillTint="33"/>
        <w:suppressAutoHyphens/>
        <w:spacing w:after="0"/>
        <w:rPr>
          <w:rFonts w:ascii="Calibri" w:eastAsia="Times New Roman" w:hAnsi="Calibri" w:cs="Calibri"/>
          <w:b/>
          <w:lang w:eastAsia="ar-SA"/>
        </w:rPr>
      </w:pPr>
      <w:r>
        <w:rPr>
          <w:rFonts w:ascii="Calibri" w:eastAsia="Times New Roman" w:hAnsi="Calibri" w:cs="Calibri"/>
          <w:b/>
          <w:lang w:eastAsia="ar-SA"/>
        </w:rPr>
        <w:t>Exposé</w:t>
      </w:r>
      <w:r w:rsidRPr="008F7C28">
        <w:rPr>
          <w:rFonts w:ascii="Calibri" w:eastAsia="Times New Roman" w:hAnsi="Calibri" w:cs="Calibri"/>
          <w:b/>
          <w:lang w:eastAsia="ar-SA"/>
        </w:rPr>
        <w:t> :</w:t>
      </w:r>
    </w:p>
    <w:p w14:paraId="1E010EEE" w14:textId="77777777" w:rsidR="00CB7B3E" w:rsidRDefault="00CB7B3E" w:rsidP="00CB7B3E">
      <w:pPr>
        <w:suppressAutoHyphens/>
        <w:spacing w:after="0"/>
        <w:rPr>
          <w:rFonts w:ascii="Calibri" w:eastAsia="Times New Roman" w:hAnsi="Calibri" w:cs="Calibri"/>
          <w:b/>
          <w:lang w:eastAsia="ar-SA"/>
        </w:rPr>
      </w:pPr>
    </w:p>
    <w:p w14:paraId="29A67EF4" w14:textId="77777777" w:rsidR="00CB7B3E" w:rsidRPr="00AF3016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  <w:r w:rsidRPr="00AF3016">
        <w:rPr>
          <w:rFonts w:eastAsia="Times New Roman" w:cstheme="minorHAnsi"/>
          <w:lang w:eastAsia="ar-SA"/>
        </w:rPr>
        <w:t>Les employeurs publics territoriaux doivent contribuer au financement des garanties d’assurance de protection sociale complémentaire auxquelles les agents qu'ils emploient souscrivent</w:t>
      </w:r>
      <w:r>
        <w:rPr>
          <w:rFonts w:eastAsia="Times New Roman" w:cstheme="minorHAnsi"/>
          <w:lang w:eastAsia="ar-SA"/>
        </w:rPr>
        <w:t xml:space="preserve"> pour couvrir l</w:t>
      </w:r>
      <w:r w:rsidRPr="00AF3016">
        <w:rPr>
          <w:rFonts w:eastAsia="Times New Roman" w:cstheme="minorHAnsi"/>
          <w:lang w:eastAsia="ar-SA"/>
        </w:rPr>
        <w:t xml:space="preserve">es </w:t>
      </w:r>
      <w:r w:rsidRPr="00AF3016">
        <w:rPr>
          <w:rFonts w:eastAsia="Times New Roman" w:cstheme="minorHAnsi"/>
          <w:b/>
          <w:lang w:eastAsia="ar-SA"/>
        </w:rPr>
        <w:t>risques prévoyance</w:t>
      </w:r>
      <w:r>
        <w:rPr>
          <w:rFonts w:eastAsia="Times New Roman" w:cstheme="minorHAnsi"/>
          <w:lang w:eastAsia="ar-SA"/>
        </w:rPr>
        <w:t> que sont l’</w:t>
      </w:r>
      <w:r w:rsidRPr="00AF3016">
        <w:rPr>
          <w:rFonts w:eastAsia="Times New Roman" w:cstheme="minorHAnsi"/>
          <w:lang w:eastAsia="ar-SA"/>
        </w:rPr>
        <w:t xml:space="preserve">incapacité de travail, </w:t>
      </w:r>
      <w:r>
        <w:rPr>
          <w:rFonts w:eastAsia="Times New Roman" w:cstheme="minorHAnsi"/>
          <w:lang w:eastAsia="ar-SA"/>
        </w:rPr>
        <w:t>l’</w:t>
      </w:r>
      <w:r w:rsidRPr="00AF3016">
        <w:rPr>
          <w:rFonts w:eastAsia="Times New Roman" w:cstheme="minorHAnsi"/>
          <w:lang w:eastAsia="ar-SA"/>
        </w:rPr>
        <w:t>invalidité,</w:t>
      </w:r>
      <w:r>
        <w:rPr>
          <w:rFonts w:eastAsia="Times New Roman" w:cstheme="minorHAnsi"/>
          <w:lang w:eastAsia="ar-SA"/>
        </w:rPr>
        <w:t xml:space="preserve"> l’</w:t>
      </w:r>
      <w:r w:rsidRPr="00AF3016">
        <w:rPr>
          <w:rFonts w:eastAsia="Times New Roman" w:cstheme="minorHAnsi"/>
          <w:lang w:eastAsia="ar-SA"/>
        </w:rPr>
        <w:t xml:space="preserve">inaptitude ou </w:t>
      </w:r>
      <w:r>
        <w:rPr>
          <w:rFonts w:eastAsia="Times New Roman" w:cstheme="minorHAnsi"/>
          <w:lang w:eastAsia="ar-SA"/>
        </w:rPr>
        <w:t xml:space="preserve">le décès </w:t>
      </w:r>
    </w:p>
    <w:p w14:paraId="73611CD8" w14:textId="77777777" w:rsidR="00CB7B3E" w:rsidRPr="00AF3016" w:rsidRDefault="00CB7B3E" w:rsidP="00CB7B3E">
      <w:pPr>
        <w:suppressAutoHyphens/>
        <w:spacing w:after="0"/>
        <w:ind w:left="720"/>
        <w:rPr>
          <w:rFonts w:eastAsia="Times New Roman" w:cstheme="minorHAnsi"/>
          <w:lang w:eastAsia="ar-SA"/>
        </w:rPr>
      </w:pPr>
    </w:p>
    <w:p w14:paraId="6F9C923C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A compter du </w:t>
      </w:r>
      <w:r w:rsidRPr="007B7277">
        <w:rPr>
          <w:rFonts w:eastAsia="Times New Roman" w:cstheme="minorHAnsi"/>
          <w:b/>
          <w:lang w:eastAsia="ar-SA"/>
        </w:rPr>
        <w:t>1</w:t>
      </w:r>
      <w:r w:rsidRPr="007B7277">
        <w:rPr>
          <w:rFonts w:eastAsia="Times New Roman" w:cstheme="minorHAnsi"/>
          <w:b/>
          <w:vertAlign w:val="superscript"/>
          <w:lang w:eastAsia="ar-SA"/>
        </w:rPr>
        <w:t>er</w:t>
      </w:r>
      <w:r w:rsidRPr="007B7277">
        <w:rPr>
          <w:rFonts w:eastAsia="Times New Roman" w:cstheme="minorHAnsi"/>
          <w:b/>
          <w:lang w:eastAsia="ar-SA"/>
        </w:rPr>
        <w:t xml:space="preserve"> janvier 2029 au plus tard</w:t>
      </w:r>
      <w:r>
        <w:rPr>
          <w:rFonts w:eastAsia="Times New Roman" w:cstheme="minorHAnsi"/>
          <w:lang w:eastAsia="ar-SA"/>
        </w:rPr>
        <w:t>, et au plus tôt selon les conditions prévues à l’article 6 de la loi n°2025-1251 du 22 décembre 2025, les employeurs doivent :</w:t>
      </w:r>
    </w:p>
    <w:p w14:paraId="64A30D18" w14:textId="77777777" w:rsidR="00CB7B3E" w:rsidRDefault="00CB7B3E" w:rsidP="00CB7B3E">
      <w:pPr>
        <w:pStyle w:val="Paragraphedeliste"/>
        <w:numPr>
          <w:ilvl w:val="0"/>
          <w:numId w:val="6"/>
        </w:num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Souscrire un contrat collectif d’assurance à </w:t>
      </w:r>
      <w:r w:rsidRPr="007B1677">
        <w:rPr>
          <w:rFonts w:eastAsia="Times New Roman" w:cstheme="minorHAnsi"/>
          <w:b/>
          <w:lang w:eastAsia="ar-SA"/>
        </w:rPr>
        <w:t>adhésion obligatoire</w:t>
      </w:r>
      <w:r>
        <w:rPr>
          <w:rFonts w:eastAsia="Times New Roman" w:cstheme="minorHAnsi"/>
          <w:lang w:eastAsia="ar-SA"/>
        </w:rPr>
        <w:t xml:space="preserve"> des agents, ou adhérer au contrat de même nature souscrit par le centre de gestion sur la base de l’article L827-7 du code général de la fonction publique,</w:t>
      </w:r>
    </w:p>
    <w:p w14:paraId="5E3A30F3" w14:textId="77777777" w:rsidR="00CB7B3E" w:rsidRDefault="00CB7B3E" w:rsidP="00CB7B3E">
      <w:pPr>
        <w:pStyle w:val="Paragraphedeliste"/>
        <w:numPr>
          <w:ilvl w:val="0"/>
          <w:numId w:val="6"/>
        </w:num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Verser une </w:t>
      </w:r>
      <w:r w:rsidRPr="007B1677">
        <w:rPr>
          <w:rFonts w:eastAsia="Times New Roman" w:cstheme="minorHAnsi"/>
          <w:b/>
          <w:lang w:eastAsia="ar-SA"/>
        </w:rPr>
        <w:t>participation d’au moins 50% de la cotisation</w:t>
      </w:r>
      <w:r>
        <w:rPr>
          <w:rFonts w:eastAsia="Times New Roman" w:cstheme="minorHAnsi"/>
          <w:lang w:eastAsia="ar-SA"/>
        </w:rPr>
        <w:t xml:space="preserve"> payée par les agents pour financer les garanties minimales d’assurance incapacité de travail et invalidité, selon l’article L827-11 du code général de la fonction publique.</w:t>
      </w:r>
    </w:p>
    <w:p w14:paraId="7974D54E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</w:p>
    <w:p w14:paraId="12281B48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Le contrat collectif d’assurance souscrit par le centre de gestion prenant fin au 31 décembre 2027, un nouveau contrat respectant le nouveau régime à adhésion obligatoire sera proposé aux employeurs à effet du </w:t>
      </w:r>
      <w:r w:rsidRPr="006F6F7F">
        <w:rPr>
          <w:rFonts w:eastAsia="Times New Roman" w:cstheme="minorHAnsi"/>
          <w:b/>
          <w:lang w:eastAsia="ar-SA"/>
        </w:rPr>
        <w:t>1</w:t>
      </w:r>
      <w:r w:rsidRPr="006F6F7F">
        <w:rPr>
          <w:rFonts w:eastAsia="Times New Roman" w:cstheme="minorHAnsi"/>
          <w:b/>
          <w:vertAlign w:val="superscript"/>
          <w:lang w:eastAsia="ar-SA"/>
        </w:rPr>
        <w:t>er</w:t>
      </w:r>
      <w:r w:rsidRPr="006F6F7F">
        <w:rPr>
          <w:rFonts w:eastAsia="Times New Roman" w:cstheme="minorHAnsi"/>
          <w:b/>
          <w:lang w:eastAsia="ar-SA"/>
        </w:rPr>
        <w:t xml:space="preserve"> janvier 2028</w:t>
      </w:r>
      <w:r w:rsidRPr="006F6F7F">
        <w:rPr>
          <w:rFonts w:eastAsia="Times New Roman" w:cstheme="minorHAnsi"/>
          <w:lang w:eastAsia="ar-SA"/>
        </w:rPr>
        <w:t>.</w:t>
      </w:r>
    </w:p>
    <w:p w14:paraId="27AB5C12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</w:p>
    <w:p w14:paraId="73F7D9E1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L’adhésion au contrat collectif est conditionnée à la conclusion préalable d’un </w:t>
      </w:r>
      <w:r w:rsidRPr="007B1677">
        <w:rPr>
          <w:rFonts w:eastAsia="Times New Roman" w:cstheme="minorHAnsi"/>
          <w:b/>
          <w:lang w:eastAsia="ar-SA"/>
        </w:rPr>
        <w:t>accord collectif valide</w:t>
      </w:r>
      <w:r>
        <w:rPr>
          <w:rFonts w:eastAsia="Times New Roman" w:cstheme="minorHAnsi"/>
          <w:lang w:eastAsia="ar-SA"/>
        </w:rPr>
        <w:t xml:space="preserve"> issu de la négociation collective.</w:t>
      </w:r>
    </w:p>
    <w:p w14:paraId="066E878D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</w:p>
    <w:p w14:paraId="5952D49C" w14:textId="77777777" w:rsidR="00CB7B3E" w:rsidRDefault="00CB7B3E" w:rsidP="00CB7B3E">
      <w:pPr>
        <w:suppressAutoHyphens/>
        <w:spacing w:after="0"/>
        <w:rPr>
          <w:rFonts w:eastAsia="Times New Roman" w:cstheme="minorHAnsi"/>
          <w:lang w:eastAsia="ar-SA"/>
        </w:rPr>
      </w:pPr>
    </w:p>
    <w:p w14:paraId="59B33AD7" w14:textId="77777777" w:rsidR="00CB7B3E" w:rsidRDefault="00CB7B3E" w:rsidP="00CB7B3E">
      <w:pPr>
        <w:rPr>
          <w:b/>
        </w:rPr>
      </w:pPr>
      <w:r>
        <w:rPr>
          <w:b/>
        </w:rPr>
        <w:br w:type="page"/>
      </w:r>
    </w:p>
    <w:p w14:paraId="4BE51F99" w14:textId="77777777" w:rsidR="00CB7B3E" w:rsidRDefault="00CB7B3E" w:rsidP="00CB7B3E">
      <w:pPr>
        <w:shd w:val="clear" w:color="auto" w:fill="FDE9D9" w:themeFill="accent6" w:themeFillTint="33"/>
        <w:spacing w:after="0"/>
        <w:rPr>
          <w:b/>
        </w:rPr>
      </w:pPr>
      <w:r w:rsidRPr="008F7C28">
        <w:rPr>
          <w:b/>
        </w:rPr>
        <w:lastRenderedPageBreak/>
        <w:t xml:space="preserve">Délibération : </w:t>
      </w:r>
    </w:p>
    <w:p w14:paraId="2FFA1417" w14:textId="77777777" w:rsidR="00CB7B3E" w:rsidRDefault="00CB7B3E" w:rsidP="00CB7B3E">
      <w:pPr>
        <w:spacing w:after="0"/>
        <w:rPr>
          <w:b/>
        </w:rPr>
      </w:pPr>
    </w:p>
    <w:p w14:paraId="27E1723A" w14:textId="77777777" w:rsidR="00CB7B3E" w:rsidRDefault="00CB7B3E" w:rsidP="00CB7B3E">
      <w:r w:rsidRPr="002627C1">
        <w:t>Le conseil, après en avoir délibéré, décide :</w:t>
      </w:r>
    </w:p>
    <w:p w14:paraId="0EE7D392" w14:textId="77777777" w:rsidR="00CB7B3E" w:rsidRDefault="00CB7B3E" w:rsidP="00CB7B3E">
      <w:pPr>
        <w:pStyle w:val="Paragraphedeliste"/>
        <w:numPr>
          <w:ilvl w:val="0"/>
          <w:numId w:val="1"/>
        </w:numPr>
      </w:pPr>
      <w:r>
        <w:t>D</w:t>
      </w:r>
      <w:r w:rsidRPr="002627C1">
        <w:t xml:space="preserve">e retenir </w:t>
      </w:r>
      <w:r>
        <w:t>le contrat collectif d’assurance à adhésion obligatoire avec :</w:t>
      </w:r>
    </w:p>
    <w:p w14:paraId="6EAC39DD" w14:textId="77777777" w:rsidR="00CB7B3E" w:rsidRPr="00CB7B3E" w:rsidRDefault="00CB7B3E" w:rsidP="00CB7B3E">
      <w:pPr>
        <w:pStyle w:val="Paragraphedeliste"/>
        <w:numPr>
          <w:ilvl w:val="1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>Autorisation pour lancer un appel public à concurrence régi par le code de la commande publique pour sélectionner un organisme d’assurance en vue de la conclusion d’une convention de participation et de son contrat collectif d’assurance,</w:t>
      </w:r>
    </w:p>
    <w:p w14:paraId="6034CB78" w14:textId="77777777" w:rsidR="00CB7B3E" w:rsidRPr="00CB7B3E" w:rsidRDefault="00CB7B3E" w:rsidP="00CB7B3E">
      <w:pPr>
        <w:pStyle w:val="Paragraphedeliste"/>
        <w:numPr>
          <w:ilvl w:val="1"/>
          <w:numId w:val="1"/>
        </w:numPr>
        <w:rPr>
          <w:color w:val="000000" w:themeColor="text1"/>
        </w:rPr>
      </w:pPr>
      <w:r w:rsidRPr="00CB7B3E">
        <w:rPr>
          <w:color w:val="000000" w:themeColor="text1"/>
          <w:u w:val="single"/>
        </w:rPr>
        <w:t>Ou</w:t>
      </w:r>
      <w:r w:rsidRPr="00CB7B3E">
        <w:rPr>
          <w:color w:val="000000" w:themeColor="text1"/>
        </w:rPr>
        <w:t xml:space="preserve"> autorisation de participer à l’appel public à concurrence lancé par le </w:t>
      </w:r>
      <w:r>
        <w:rPr>
          <w:color w:val="000000" w:themeColor="text1"/>
        </w:rPr>
        <w:t>centre de gestion</w:t>
      </w:r>
      <w:r w:rsidRPr="00CB7B3E">
        <w:rPr>
          <w:color w:val="000000" w:themeColor="text1"/>
        </w:rPr>
        <w:t xml:space="preserve"> afin d’adhérer à la convention de participation et à son contrat collectif d’assurance proposé par ce dernier.</w:t>
      </w:r>
    </w:p>
    <w:p w14:paraId="646EA1EB" w14:textId="77777777" w:rsidR="00CB7B3E" w:rsidRDefault="00CB7B3E" w:rsidP="00CB7B3E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 xml:space="preserve">De verser une participation </w:t>
      </w:r>
      <w:r w:rsidRPr="0083127A">
        <w:rPr>
          <w:color w:val="000000" w:themeColor="text1"/>
        </w:rPr>
        <w:t>mensuelle brute par agent</w:t>
      </w:r>
      <w:r>
        <w:rPr>
          <w:color w:val="000000" w:themeColor="text1"/>
        </w:rPr>
        <w:t> à la date d’effet de la convention :</w:t>
      </w:r>
    </w:p>
    <w:p w14:paraId="0346A0B9" w14:textId="77777777" w:rsidR="00CB7B3E" w:rsidRPr="00CB7B3E" w:rsidRDefault="00CB7B3E" w:rsidP="00CB7B3E">
      <w:pPr>
        <w:pStyle w:val="Paragraphedeliste"/>
        <w:numPr>
          <w:ilvl w:val="1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>La participation s’élève à un pourcentage de la cotisation payée par l’agent, et ne pouvant être inférieure à 50% de celle-ci :</w:t>
      </w:r>
      <w:r>
        <w:rPr>
          <w:color w:val="000000" w:themeColor="text1"/>
        </w:rPr>
        <w:t xml:space="preserve"> </w:t>
      </w:r>
    </w:p>
    <w:p w14:paraId="47907F58" w14:textId="77777777" w:rsidR="00CB7B3E" w:rsidRPr="00CB7B3E" w:rsidRDefault="00CB7B3E" w:rsidP="00CB7B3E">
      <w:pPr>
        <w:pStyle w:val="Paragraphedeliste"/>
        <w:numPr>
          <w:ilvl w:val="2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>Pourcentage identique par agent de</w:t>
      </w:r>
      <w:r>
        <w:rPr>
          <w:color w:val="000000" w:themeColor="text1"/>
        </w:rPr>
        <w:t xml:space="preserve"> : </w:t>
      </w:r>
      <w:r w:rsidRPr="00CB7B3E">
        <w:rPr>
          <w:color w:val="000000" w:themeColor="text1"/>
        </w:rPr>
        <w:t>X%,</w:t>
      </w:r>
    </w:p>
    <w:p w14:paraId="0D723E46" w14:textId="77777777" w:rsidR="00CB7B3E" w:rsidRPr="00CB7B3E" w:rsidRDefault="00CB7B3E" w:rsidP="00CB7B3E">
      <w:pPr>
        <w:pStyle w:val="Paragraphedeliste"/>
        <w:numPr>
          <w:ilvl w:val="1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 xml:space="preserve">Ou </w:t>
      </w:r>
      <w:r>
        <w:rPr>
          <w:color w:val="000000" w:themeColor="text1"/>
        </w:rPr>
        <w:t xml:space="preserve">participation selon des </w:t>
      </w:r>
      <w:r w:rsidRPr="00CB7B3E">
        <w:rPr>
          <w:color w:val="000000" w:themeColor="text1"/>
        </w:rPr>
        <w:t xml:space="preserve">taux modulés </w:t>
      </w:r>
      <w:r>
        <w:rPr>
          <w:color w:val="000000" w:themeColor="text1"/>
        </w:rPr>
        <w:t xml:space="preserve">dans un but d’intérêt social </w:t>
      </w:r>
      <w:r w:rsidRPr="00CB7B3E">
        <w:rPr>
          <w:color w:val="000000" w:themeColor="text1"/>
        </w:rPr>
        <w:t>:</w:t>
      </w:r>
    </w:p>
    <w:p w14:paraId="72CBABBD" w14:textId="77777777" w:rsidR="00CB7B3E" w:rsidRPr="00CB7B3E" w:rsidRDefault="00CB7B3E" w:rsidP="00CB7B3E">
      <w:pPr>
        <w:pStyle w:val="Paragraphedeliste"/>
        <w:numPr>
          <w:ilvl w:val="2"/>
          <w:numId w:val="1"/>
        </w:numPr>
        <w:rPr>
          <w:color w:val="000000" w:themeColor="text1"/>
        </w:rPr>
      </w:pPr>
      <w:r w:rsidRPr="00CB7B3E">
        <w:rPr>
          <w:color w:val="000000" w:themeColor="text1"/>
        </w:rPr>
        <w:t>Pourcentage par tranches de revenus.</w:t>
      </w:r>
    </w:p>
    <w:p w14:paraId="0A88673A" w14:textId="77777777" w:rsidR="00CB7B3E" w:rsidRPr="003606B5" w:rsidRDefault="00CB7B3E" w:rsidP="00CB7B3E">
      <w:pPr>
        <w:pStyle w:val="Paragraphedeliste"/>
        <w:numPr>
          <w:ilvl w:val="0"/>
          <w:numId w:val="1"/>
        </w:numPr>
        <w:rPr>
          <w:b/>
        </w:rPr>
      </w:pPr>
      <w:r w:rsidRPr="00CB7B3E">
        <w:rPr>
          <w:color w:val="000000" w:themeColor="text1"/>
        </w:rPr>
        <w:t xml:space="preserve">D’autoriser le Maire/Président à </w:t>
      </w:r>
      <w:r w:rsidRPr="002627C1">
        <w:t>ef</w:t>
      </w:r>
      <w:r>
        <w:t>fectuer tout acte en conséquence.</w:t>
      </w:r>
    </w:p>
    <w:p w14:paraId="2DECCF66" w14:textId="77777777" w:rsidR="00CB7B3E" w:rsidRPr="00921172" w:rsidRDefault="00CB7B3E" w:rsidP="00921172">
      <w:pPr>
        <w:rPr>
          <w:b/>
        </w:rPr>
      </w:pPr>
    </w:p>
    <w:sectPr w:rsidR="00CB7B3E" w:rsidRPr="00921172" w:rsidSect="00CF3D6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C42E" w14:textId="77777777" w:rsidR="00ED1A2D" w:rsidRDefault="00ED1A2D" w:rsidP="00F57C76">
      <w:pPr>
        <w:spacing w:after="0" w:line="240" w:lineRule="auto"/>
      </w:pPr>
      <w:r>
        <w:separator/>
      </w:r>
    </w:p>
  </w:endnote>
  <w:endnote w:type="continuationSeparator" w:id="0">
    <w:p w14:paraId="6796D99E" w14:textId="77777777" w:rsidR="00ED1A2D" w:rsidRDefault="00ED1A2D" w:rsidP="00F5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1791139"/>
      <w:docPartObj>
        <w:docPartGallery w:val="Page Numbers (Bottom of Page)"/>
        <w:docPartUnique/>
      </w:docPartObj>
    </w:sdtPr>
    <w:sdtEndPr/>
    <w:sdtContent>
      <w:p w14:paraId="20B94763" w14:textId="77777777" w:rsidR="00755749" w:rsidRDefault="0075574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08D">
          <w:rPr>
            <w:noProof/>
          </w:rPr>
          <w:t>1</w:t>
        </w:r>
        <w:r>
          <w:fldChar w:fldCharType="end"/>
        </w:r>
      </w:p>
    </w:sdtContent>
  </w:sdt>
  <w:p w14:paraId="7EF46B71" w14:textId="77777777" w:rsidR="00755749" w:rsidRDefault="007557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F52D" w14:textId="77777777" w:rsidR="00ED1A2D" w:rsidRDefault="00ED1A2D" w:rsidP="00F57C76">
      <w:pPr>
        <w:spacing w:after="0" w:line="240" w:lineRule="auto"/>
      </w:pPr>
      <w:r>
        <w:separator/>
      </w:r>
    </w:p>
  </w:footnote>
  <w:footnote w:type="continuationSeparator" w:id="0">
    <w:p w14:paraId="45D57E4D" w14:textId="77777777" w:rsidR="00ED1A2D" w:rsidRDefault="00ED1A2D" w:rsidP="00F5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0A53" w14:textId="77777777" w:rsidR="00F57C76" w:rsidRDefault="00ED1A2D">
    <w:pPr>
      <w:pStyle w:val="En-tte"/>
    </w:pPr>
    <w:r>
      <w:rPr>
        <w:noProof/>
      </w:rPr>
      <w:pict w14:anchorId="42C022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6" o:spid="_x0000_s1028" type="#_x0000_t136" style="position:absolute;margin-left:0;margin-top:0;width:528.45pt;height:15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0A00" w14:textId="4AE62696" w:rsidR="00F57C76" w:rsidRDefault="00ED1A2D" w:rsidP="00CF3D64">
    <w:pPr>
      <w:pStyle w:val="En-tte"/>
    </w:pPr>
    <w:r>
      <w:rPr>
        <w:noProof/>
      </w:rPr>
      <w:pict w14:anchorId="5FF45A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7" o:spid="_x0000_s1029" type="#_x0000_t136" style="position:absolute;margin-left:0;margin-top:0;width:528.45pt;height:15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  <w:p w14:paraId="7E9568F4" w14:textId="77777777" w:rsidR="00CF3D64" w:rsidRPr="00CF3D64" w:rsidRDefault="00CF3D64" w:rsidP="00CF3D6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431B" w14:textId="77777777" w:rsidR="00F57C76" w:rsidRDefault="00ED1A2D">
    <w:pPr>
      <w:pStyle w:val="En-tte"/>
    </w:pPr>
    <w:r>
      <w:rPr>
        <w:noProof/>
      </w:rPr>
      <w:pict w14:anchorId="3C40CA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691875" o:spid="_x0000_s1027" type="#_x0000_t136" style="position:absolute;margin-left:0;margin-top:0;width:528.45pt;height:15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MPLOYEU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304B"/>
    <w:multiLevelType w:val="hybridMultilevel"/>
    <w:tmpl w:val="C9A2DB86"/>
    <w:lvl w:ilvl="0" w:tplc="1FAEC6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C1C95"/>
    <w:multiLevelType w:val="hybridMultilevel"/>
    <w:tmpl w:val="772096D0"/>
    <w:lvl w:ilvl="0" w:tplc="734CAF46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710B7"/>
    <w:multiLevelType w:val="hybridMultilevel"/>
    <w:tmpl w:val="AFEC6590"/>
    <w:lvl w:ilvl="0" w:tplc="D1DA34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D91699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862F8"/>
    <w:multiLevelType w:val="hybridMultilevel"/>
    <w:tmpl w:val="F9922042"/>
    <w:lvl w:ilvl="0" w:tplc="02E8CC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209A0"/>
    <w:multiLevelType w:val="hybridMultilevel"/>
    <w:tmpl w:val="F4DE9AD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FF68AC"/>
    <w:multiLevelType w:val="hybridMultilevel"/>
    <w:tmpl w:val="15968560"/>
    <w:lvl w:ilvl="0" w:tplc="6EA2CF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638810">
    <w:abstractNumId w:val="0"/>
  </w:num>
  <w:num w:numId="2" w16cid:durableId="227813128">
    <w:abstractNumId w:val="4"/>
  </w:num>
  <w:num w:numId="3" w16cid:durableId="1357199729">
    <w:abstractNumId w:val="1"/>
  </w:num>
  <w:num w:numId="4" w16cid:durableId="706874340">
    <w:abstractNumId w:val="3"/>
  </w:num>
  <w:num w:numId="5" w16cid:durableId="1980648967">
    <w:abstractNumId w:val="2"/>
  </w:num>
  <w:num w:numId="6" w16cid:durableId="1071538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76"/>
    <w:rsid w:val="00025772"/>
    <w:rsid w:val="00066DE9"/>
    <w:rsid w:val="000B13F9"/>
    <w:rsid w:val="000C31BB"/>
    <w:rsid w:val="000E1731"/>
    <w:rsid w:val="000F456F"/>
    <w:rsid w:val="0012415C"/>
    <w:rsid w:val="0014655A"/>
    <w:rsid w:val="001751EC"/>
    <w:rsid w:val="001856C5"/>
    <w:rsid w:val="001A1B8F"/>
    <w:rsid w:val="001B287E"/>
    <w:rsid w:val="00212B21"/>
    <w:rsid w:val="002143A8"/>
    <w:rsid w:val="002517AC"/>
    <w:rsid w:val="00257BA6"/>
    <w:rsid w:val="002627C1"/>
    <w:rsid w:val="002762EF"/>
    <w:rsid w:val="002C378B"/>
    <w:rsid w:val="002C597A"/>
    <w:rsid w:val="002D447D"/>
    <w:rsid w:val="00352496"/>
    <w:rsid w:val="00360AD1"/>
    <w:rsid w:val="00370B1A"/>
    <w:rsid w:val="00377F49"/>
    <w:rsid w:val="003B2C5C"/>
    <w:rsid w:val="003E4D79"/>
    <w:rsid w:val="00404194"/>
    <w:rsid w:val="00412502"/>
    <w:rsid w:val="00413CB7"/>
    <w:rsid w:val="00424997"/>
    <w:rsid w:val="00454BE4"/>
    <w:rsid w:val="004948B9"/>
    <w:rsid w:val="0049514D"/>
    <w:rsid w:val="004A06DE"/>
    <w:rsid w:val="004B3635"/>
    <w:rsid w:val="004D30A2"/>
    <w:rsid w:val="004D7C89"/>
    <w:rsid w:val="004E4EEC"/>
    <w:rsid w:val="004F5878"/>
    <w:rsid w:val="004F58AB"/>
    <w:rsid w:val="004F608D"/>
    <w:rsid w:val="004F6B2B"/>
    <w:rsid w:val="005529CD"/>
    <w:rsid w:val="0055345F"/>
    <w:rsid w:val="005809C8"/>
    <w:rsid w:val="005A05DF"/>
    <w:rsid w:val="005D00D3"/>
    <w:rsid w:val="005E625E"/>
    <w:rsid w:val="00603662"/>
    <w:rsid w:val="006413F8"/>
    <w:rsid w:val="006442F0"/>
    <w:rsid w:val="00656B3A"/>
    <w:rsid w:val="006714E2"/>
    <w:rsid w:val="006B1B52"/>
    <w:rsid w:val="006F6F7F"/>
    <w:rsid w:val="00755749"/>
    <w:rsid w:val="00761736"/>
    <w:rsid w:val="007A1C77"/>
    <w:rsid w:val="007B1677"/>
    <w:rsid w:val="007B7277"/>
    <w:rsid w:val="007D4D26"/>
    <w:rsid w:val="007E60D1"/>
    <w:rsid w:val="00810B5D"/>
    <w:rsid w:val="00814E32"/>
    <w:rsid w:val="008157DD"/>
    <w:rsid w:val="00815952"/>
    <w:rsid w:val="0083127A"/>
    <w:rsid w:val="008502FB"/>
    <w:rsid w:val="008746AA"/>
    <w:rsid w:val="008D0BA3"/>
    <w:rsid w:val="008F156E"/>
    <w:rsid w:val="008F6D95"/>
    <w:rsid w:val="008F7C28"/>
    <w:rsid w:val="00921172"/>
    <w:rsid w:val="00933CB7"/>
    <w:rsid w:val="00951E6A"/>
    <w:rsid w:val="009809E5"/>
    <w:rsid w:val="00981881"/>
    <w:rsid w:val="009E19C6"/>
    <w:rsid w:val="009F5126"/>
    <w:rsid w:val="00A517BB"/>
    <w:rsid w:val="00A67D87"/>
    <w:rsid w:val="00A73C2E"/>
    <w:rsid w:val="00A777E0"/>
    <w:rsid w:val="00A77AB0"/>
    <w:rsid w:val="00A80168"/>
    <w:rsid w:val="00A82C3C"/>
    <w:rsid w:val="00A86E45"/>
    <w:rsid w:val="00A91EDF"/>
    <w:rsid w:val="00AB771E"/>
    <w:rsid w:val="00AE604E"/>
    <w:rsid w:val="00AF3016"/>
    <w:rsid w:val="00B05F0E"/>
    <w:rsid w:val="00B23162"/>
    <w:rsid w:val="00B30403"/>
    <w:rsid w:val="00B3498E"/>
    <w:rsid w:val="00B42157"/>
    <w:rsid w:val="00B81CEA"/>
    <w:rsid w:val="00B8260B"/>
    <w:rsid w:val="00B97F79"/>
    <w:rsid w:val="00BD4CC0"/>
    <w:rsid w:val="00BE228B"/>
    <w:rsid w:val="00C05FF9"/>
    <w:rsid w:val="00C10252"/>
    <w:rsid w:val="00C12EA7"/>
    <w:rsid w:val="00C26878"/>
    <w:rsid w:val="00C62BE5"/>
    <w:rsid w:val="00C7185A"/>
    <w:rsid w:val="00CA506B"/>
    <w:rsid w:val="00CB7B3E"/>
    <w:rsid w:val="00CF3D64"/>
    <w:rsid w:val="00D02D69"/>
    <w:rsid w:val="00D22810"/>
    <w:rsid w:val="00D62199"/>
    <w:rsid w:val="00D621B6"/>
    <w:rsid w:val="00DE074D"/>
    <w:rsid w:val="00DE12AA"/>
    <w:rsid w:val="00DF7970"/>
    <w:rsid w:val="00E00B3D"/>
    <w:rsid w:val="00E074C4"/>
    <w:rsid w:val="00E230AD"/>
    <w:rsid w:val="00E24549"/>
    <w:rsid w:val="00E26916"/>
    <w:rsid w:val="00E4267A"/>
    <w:rsid w:val="00E9780F"/>
    <w:rsid w:val="00EA03BA"/>
    <w:rsid w:val="00EA49BE"/>
    <w:rsid w:val="00EB648C"/>
    <w:rsid w:val="00ED1A2D"/>
    <w:rsid w:val="00ED7B20"/>
    <w:rsid w:val="00F0288D"/>
    <w:rsid w:val="00F162E1"/>
    <w:rsid w:val="00F169BB"/>
    <w:rsid w:val="00F2764A"/>
    <w:rsid w:val="00F305DE"/>
    <w:rsid w:val="00F35D67"/>
    <w:rsid w:val="00F565D6"/>
    <w:rsid w:val="00F57C76"/>
    <w:rsid w:val="00FA08A7"/>
    <w:rsid w:val="00FA5E8C"/>
    <w:rsid w:val="00FC4263"/>
    <w:rsid w:val="00FC48F7"/>
    <w:rsid w:val="00FD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7CAF3"/>
  <w15:docId w15:val="{FD65A37E-D854-456E-9974-BD18C3F1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B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5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7C76"/>
  </w:style>
  <w:style w:type="paragraph" w:styleId="Pieddepage">
    <w:name w:val="footer"/>
    <w:basedOn w:val="Normal"/>
    <w:link w:val="PieddepageCar"/>
    <w:uiPriority w:val="99"/>
    <w:unhideWhenUsed/>
    <w:rsid w:val="00F5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7C76"/>
  </w:style>
  <w:style w:type="paragraph" w:styleId="Paragraphedeliste">
    <w:name w:val="List Paragraph"/>
    <w:basedOn w:val="Normal"/>
    <w:uiPriority w:val="34"/>
    <w:qFormat/>
    <w:rsid w:val="00F57C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77E0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77E0"/>
    <w:rPr>
      <w:rFonts w:ascii="Arial" w:hAnsi="Arial" w:cs="Arial"/>
      <w:sz w:val="16"/>
      <w:szCs w:val="16"/>
    </w:rPr>
  </w:style>
  <w:style w:type="table" w:styleId="Grilledutableau">
    <w:name w:val="Table Grid"/>
    <w:basedOn w:val="TableauNormal"/>
    <w:uiPriority w:val="59"/>
    <w:rsid w:val="009E1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BB9DA-F776-4F8F-B8A2-6F07C849F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Demornac</dc:creator>
  <cp:lastModifiedBy>PINAT Kamélia</cp:lastModifiedBy>
  <cp:revision>3</cp:revision>
  <cp:lastPrinted>2023-10-27T09:31:00Z</cp:lastPrinted>
  <dcterms:created xsi:type="dcterms:W3CDTF">2026-10-13T07:53:00Z</dcterms:created>
  <dcterms:modified xsi:type="dcterms:W3CDTF">2026-10-14T13:27:00Z</dcterms:modified>
</cp:coreProperties>
</file>